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83</w:t>
      </w:r>
    </w:p>
    <w:p>
      <w:r>
        <w:t>Bundesgericht (BGE), 1998-10-29, DE</w:t>
      </w:r>
    </w:p>
    <w:p>
      <w:r>
        <w:rPr>
          <w:b/>
        </w:rPr>
        <w:t xml:space="preserve">Quelle: </w:t>
      </w:r>
      <w:r>
        <w:t>https://mcp.opencaselaw.ch/entscheid/bge_125 II 83</w:t>
      </w:r>
    </w:p>
    <w:p>
      <w:r>
        <w:t>FR: ATF 125 II 83</w:t>
      </w:r>
    </w:p>
    <w:p>
      <w:r>
        <w:t>IT: DTF 125 II 83</w:t>
      </w:r>
    </w:p>
    <w:p>
      <w:pPr>
        <w:pStyle w:val="Heading2"/>
      </w:pPr>
      <w:r>
        <w:t>Regeste</w:t>
      </w:r>
    </w:p>
    <w:p>
      <w:r>
        <w:t>Regeste Art. 47 BankG, Art. 38 BEHG, Art. 1a IRSG; Bankgeheimnis und Amtshilfe an das deutsche Bundesaufsichtsamt für den Wertpapierhandel (BAWe). Das Bankgeheimnis steht der Amtshilfe nicht entgegen, wenn die Voraussetzungen von Art. 38 BEHG erfüllt sind. Der Schutz des Bankgeheimnisses könnte nur dann zu den wesentlichen Interessen der Schweiz im Sinne des analog anzuwendenden Art. 1a IRSG zählen, wenn dieses durch die verlangten Informationen geradezu ausgehöhlt würde, was vorliegend nicht der Fall ist (E. 5).</w:t>
      </w:r>
    </w:p>
    <w:p>
      <w:pPr>
        <w:pStyle w:val="Heading2"/>
      </w:pPr>
      <w:r>
        <w:t>Erwägungen</w:t>
      </w:r>
    </w:p>
    <w:p>
      <w:r>
        <w:rPr>
          <w:b/>
        </w:rPr>
        <w:t>E. 5</w:t>
      </w:r>
    </w:p>
    <w:p>
      <w:r>
        <w:t>Schliesslich geht auch der Einwand fehl, das Bankgeheimnis werde ausgehöhlt und es würden wesentliche Interessen der Schweiz tangiert, wenn bei einer Insideruntersuchung, welche notgedrungen eine Vielzahl von Kunden betreffe, Amtshilfe geleistet werde: Zwar können der Gewährung von internationaler Rechtshilfe in Strafsachen unter Umständen wesentliche Interessen der Schweiz entgegenstehen (Art. 1a des Bundesgesetzes vom 20. März 1981 über internationale Rechtshilfe in Strafsachen, IRSG; SR 351.1), wobei sich dies grundsätzlich auch auf die Amtshilfe übertragen lässt, nachdem kein entsprechender Rechtsanspruch der ausländischen Aufsichtsbehörde besteht (ANNETTE ALTHAUS, Amtshilfe und Vor-Ort-Kontrolle, Diss. Bern 1997, S. 166-168; BERNHARD WEIGL, Schweizer Börsenrecht, Baden-Baden 1997, S. 107). Im vorliegenden Fall sind indessen keine solchen Interessen berührt. Das Bankgeheimnis (Art. 47 des Bundesgesetzes vom 8. November 1934 über die Banken und Sparkassen, BankG; SR 952.0) hat nicht Verfassungsrang. Es behält die eidgenössischen und kantonalen Bestimmungen über die Zeugnis- und die Auskunftspflicht gegenüber einer Behörde ausdrücklich vor ( Art. 47 Abs. 4 BankG ). Sind die gesetzlichen Voraussetzungen der Amtshilfe erfüllt, steht das Bankgeheimnis deshalb der Übermittlung von Auskünften an ausländische Aufsichtsbehörden nicht entgegen. Wie das Bundesgericht für die internationale Rechtshilfe festgestellt hat, könnte dessen Schutz höchstens dann zu den wesentlichen Interessen der Schweiz gezählt werden, wenn dieses durch die verlangten Informationen geradezu ausgehöhlt würde ( BGE 115 Ib 68 E. 4b S. 83). Hiervon kann indessen nicht die Rede sein, wenn bei einer Insideruntersuchung, beschränkt auf diesen Zweck, lediglich Angaben zu bestimmten Transaktionen BGE 125 II 83 S. 85 weitergeleitet werden. Die Globalisierung der Märkte und die Internationalisierung der Finanzdienstleistungen machen eine umfassende Überwachung und damit eine enge Zusammenarbeit der Aufsichtsbehörden unabdingbar (vgl. die bundesrätliche Botschaft vom 27. Mai 1998 über die Revision des Bundesgesetzes über die Banken und Sparkassen, BBl 1998 3885 ff., und ROLF WATTER/RALPH MALACRIDA, Das Börsengesetz im internationalen Kontext, in: Christian J. Meier-Schatz [Hrsg.], Das neue Börsengesetz der Schweiz, Bern 1996, S. 137; WEIGL, a.a.O., S. 106 f.). Das Funktionieren der internationalen Aufsicht gehört seinerseits zu den wesentlichen Interessen der Schweiz, weshalb auch aus diesem Grund das Bankgeheimnis im Allgemeinen gegenüber der Leistung von Amtshilfe zurückzutreten hat. Zu beachten ist zudem, dass die von der Bankenkommission erteilten Informationen ausschliesslich zur direkten Beaufsichtigung der Börsen und des Effektenhandels zu verwenden sind ( Art. 38 Abs. 2 lit. a BEHG [SR 954.1]) und ihre Weiterleitung an andere Behörden deren vorgängigen Zustimmung bedarf ( Art. 38 Abs. 2 lit. c BEHG ). Das Bundesaufsichtsamt hat gegenüber der Bankenkommission zugesichert, die Bedingungen einzuhalten, unter denen die Schweiz bereit ist, Amtshilfe zu leisten. Es ist jedoch Sache der Bankenkommission, bei der Übermittlung der Informationen hierauf noch einmal ausdrücklich aufmerksam zu machen (vgl. BGE 125 II 65 E. 9 S.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